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361" w:rsidRPr="003E2361" w:rsidRDefault="003E2361" w:rsidP="003E2361">
      <w:pPr>
        <w:shd w:val="clear" w:color="auto" w:fill="FFFFFF"/>
        <w:spacing w:after="0" w:line="312" w:lineRule="atLeast"/>
        <w:textAlignment w:val="baseline"/>
        <w:outlineLvl w:val="0"/>
        <w:rPr>
          <w:rFonts w:ascii="Arial" w:eastAsia="Times New Roman" w:hAnsi="Arial" w:cs="Arial"/>
          <w:b/>
          <w:bCs/>
          <w:color w:val="000000"/>
          <w:kern w:val="36"/>
          <w:sz w:val="39"/>
          <w:szCs w:val="39"/>
        </w:rPr>
      </w:pPr>
      <w:r w:rsidRPr="003E2361">
        <w:rPr>
          <w:rFonts w:ascii="Arial" w:eastAsia="Times New Roman" w:hAnsi="Arial" w:cs="Arial"/>
          <w:b/>
          <w:bCs/>
          <w:color w:val="000000"/>
          <w:kern w:val="36"/>
          <w:sz w:val="39"/>
          <w:szCs w:val="39"/>
        </w:rPr>
        <w:t xml:space="preserve">Inseguranças urbanas e vitimações </w:t>
      </w:r>
      <w:proofErr w:type="spellStart"/>
      <w:r w:rsidRPr="003E2361">
        <w:rPr>
          <w:rFonts w:ascii="Arial" w:eastAsia="Times New Roman" w:hAnsi="Arial" w:cs="Arial"/>
          <w:b/>
          <w:bCs/>
          <w:color w:val="000000"/>
          <w:kern w:val="36"/>
          <w:sz w:val="39"/>
          <w:szCs w:val="39"/>
        </w:rPr>
        <w:t>coletivas</w:t>
      </w:r>
      <w:proofErr w:type="spellEnd"/>
    </w:p>
    <w:p w:rsidR="003E2361" w:rsidRPr="003E2361" w:rsidRDefault="003E2361" w:rsidP="003E2361">
      <w:pPr>
        <w:shd w:val="clear" w:color="auto" w:fill="FFFFFF"/>
        <w:spacing w:after="0" w:line="449" w:lineRule="atLeast"/>
        <w:textAlignment w:val="baseline"/>
        <w:rPr>
          <w:rFonts w:ascii="Arial" w:eastAsia="Times New Roman" w:hAnsi="Arial" w:cs="Arial"/>
          <w:color w:val="777777"/>
        </w:rPr>
      </w:pPr>
      <w:r w:rsidRPr="003E2361">
        <w:rPr>
          <w:rFonts w:ascii="Arial" w:eastAsia="Times New Roman" w:hAnsi="Arial" w:cs="Arial"/>
          <w:color w:val="777777"/>
        </w:rPr>
        <w:t>Publicado em </w:t>
      </w:r>
      <w:hyperlink r:id="rId4" w:tooltip="19:58" w:history="1">
        <w:r w:rsidRPr="003E2361">
          <w:rPr>
            <w:rFonts w:ascii="Arial" w:eastAsia="Times New Roman" w:hAnsi="Arial" w:cs="Arial"/>
            <w:color w:val="777777"/>
            <w:u w:val="single"/>
          </w:rPr>
          <w:t>12 de Dezembro de 2013</w:t>
        </w:r>
      </w:hyperlink>
      <w:r w:rsidRPr="003E2361">
        <w:rPr>
          <w:rFonts w:ascii="Arial" w:eastAsia="Times New Roman" w:hAnsi="Arial" w:cs="Arial"/>
          <w:color w:val="777777"/>
        </w:rPr>
        <w:t> por </w:t>
      </w:r>
      <w:hyperlink r:id="rId5" w:tooltip="Ver todos os posts de Conselho de Coordenação" w:history="1">
        <w:r w:rsidRPr="003E2361">
          <w:rPr>
            <w:rFonts w:ascii="Arial" w:eastAsia="Times New Roman" w:hAnsi="Arial" w:cs="Arial"/>
            <w:color w:val="777777"/>
            <w:u w:val="single"/>
          </w:rPr>
          <w:t>Conselho de Coordenação</w:t>
        </w:r>
      </w:hyperlink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Dimensão analítica</w:t>
      </w:r>
      <w:proofErr w:type="gramStart"/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: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Direito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, Justiça e Crime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Título do artigo</w:t>
      </w:r>
      <w:proofErr w:type="gramStart"/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: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Inseguranças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urbanas e vitimações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coletivas</w:t>
      </w:r>
      <w:proofErr w:type="spellEnd"/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Autora</w:t>
      </w:r>
      <w:proofErr w:type="gramStart"/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: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Helena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Grangeia e Olga Furriel Cruz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Filiação institucional</w:t>
      </w:r>
      <w:proofErr w:type="gramStart"/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: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Unidade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de Investigação em Criminologia e Ciências do Comportamento (Instituto Superior da Maia) e Centro de Investigação Interdisciplinar em Direitos Humanos (Universidade do Minho)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E-mail</w:t>
      </w:r>
      <w:proofErr w:type="gramStart"/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: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hgrangeia@ismai.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pt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; ocruz@ismai.pt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Palavras-chave</w:t>
      </w:r>
      <w:proofErr w:type="gramStart"/>
      <w:r w:rsidRPr="003E2361">
        <w:rPr>
          <w:rFonts w:ascii="Georgia" w:eastAsia="Times New Roman" w:hAnsi="Georgia" w:cs="Times New Roman"/>
          <w:b/>
          <w:bCs/>
          <w:color w:val="800000"/>
          <w:sz w:val="30"/>
        </w:rPr>
        <w:t>: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Inseguranças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urbanas, Vitimações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coletivas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, Contextos urbanos.</w:t>
      </w:r>
    </w:p>
    <w:p w:rsidR="003E2361" w:rsidRPr="003E2361" w:rsidRDefault="003E2361" w:rsidP="003E2361">
      <w:pPr>
        <w:spacing w:after="449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 </w:t>
      </w:r>
    </w:p>
    <w:p w:rsidR="003E2361" w:rsidRPr="003E2361" w:rsidRDefault="003E2361" w:rsidP="003E2361">
      <w:pPr>
        <w:spacing w:after="449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A análise do crime e da violência implica atender aos contextos a partir dos quais as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subjetividades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e as práticas se produzem. Tratar tais conceitos num ‘vácuo social’ limita a sua compreensão e impossibilita aceder aos modos como são construídos os significados e definidas as experiências de perpetração e vitimação. Neste sentido, propõe-se tratar especificamente o fenómeno criminal considerando as significações emergentes no tecido urbano, incluindo a sua construção como forma de violência e de vitimação. Reconhece-se, inclusive, que o sentimento de insegurança pode ser ainda mais nefasto do que o próprio ato criminal, na medida em que permeia os níveis de confiança e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afeta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o bem-estar das pessoas e das sociedades, vulnerabilizando-as e tornando-as mais facilmente manipuláveis. Este é o mote para a problematização do conceito de vitimação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relacionando-o com um importante custo da vitimação: o sentimento de insegurança.</w:t>
      </w:r>
    </w:p>
    <w:p w:rsidR="003E2361" w:rsidRPr="003E2361" w:rsidRDefault="003E2361" w:rsidP="003E2361">
      <w:pPr>
        <w:spacing w:after="449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lastRenderedPageBreak/>
        <w:t xml:space="preserve">Tradicionalmente os conceitos de vitimação e de vítima são amplamente trabalhados. Sabe-se que 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autoperceção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enquanto vítima – quer individual, quer enquanto membro de um grupo – pode ser despoletada por inúmeras situações e passa a integrar o reportório pessoal do sujeito [1]. Entenda-se ainda que a experiência de vitimação não depende da ocorrência de um evento criminal, reconhecendo-se a existência de vítimas sem crime.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Quer se trate de vitimação individual ou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, esta experiência gera custos substanciais. É importante considerar que os efeitos do crime estendem-se para lá do impacto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direto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, concreto e visível possuindo também uma dimensão psicológica, menos observável, que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afeta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de igual forma a vida de indivíduos não envolvidos, assim como a sociedade no seu todo. Ou seja, envolve também o desenvolvimento de determinadas características psicológicas, como a perda de confiança em terceiros, a desesperança aprendida, o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proofErr w:type="spellStart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locus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de controlo externo e a baixa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autoestima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[1]. São estes custos intangíveis, associados ao sentido de ameaça de vitimação e a uma perda de qualidade de vida que, apesar de mais dificilmente mensuráveis, contabilizam a maior proporção dos custos da vitimação [2].</w:t>
      </w:r>
    </w:p>
    <w:p w:rsidR="003E2361" w:rsidRPr="003E2361" w:rsidRDefault="003E2361" w:rsidP="003E2361">
      <w:pPr>
        <w:spacing w:after="449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Um importante custo intangível é, desta forma, o sentimento de insegurança, que apesar de não ter que surgir necessariamente associado a uma experiência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direta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de vitimação criminal, é entendido como o legado mais persistente e vasto do crime, uma vez que dissemina socialmente os danos da vitimação. Como propõe Lourenço [3], o sentimento de insegurança surge então enquanto conjunto de “manifestações de inquietação, de perturbação ou de medo, quer individuais, quer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coletivas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, 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lastRenderedPageBreak/>
        <w:t xml:space="preserve">cristalizadas sobre o crime” (p. 7). É um sentimento que resulta da construção do crime como risco, contendo em si mesmo entendimentos complexos sobre o mundo social. O sentimento de insegurança funciona assim como uma ‘esponja’, absorvendo todo o tipo de ansiedades sobre outros assuntos relacionados com a deterioração do tecido moral e da comunidade [4]. Por esta razão, o sentimento de insegurança surge particularmente associado com locais densamente povoados e ambientes urbanos – espaços duplamente ricos em oportunidades e em riscos e fortemente polarizados socialmente. Mais, 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perceção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de risco individual é moldada pela presença de significadores presentes no meio social e físico, ou seja, incivilidades que simbolizam a decadência urbana e problemas sociais. Estes são interpretados como sintomas de uma ordem social frágil que coloca em causa os mecanismos de controlo social, bem como a organização, coesão e estabilidade sociais.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Deste modo, defendemos que o sentimento de insegurança estabelece e reforça a clivagem entre dois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polos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– o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nós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e os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outros –</w:t>
      </w:r>
      <w:proofErr w:type="gramStart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promovendo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uma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perspetiva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socialmente diferenciadora que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reflete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a crise do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e promove a exclusão social [5]. Ou seja, a preocupação pela ordem social, tal como denominada por Lourenço [4], surge associada a questões identitárias e à classificação social, contribuindo para a estigmatização dos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proofErr w:type="spellStart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outros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como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protagonistas do crime e, por isso, da desordem social. Estes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outros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construídos como diferenciados do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nós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, marginais à sociedade, são apontados como figuras de medo e, por isso, geradores do sentimento de insegurança. Apesar de significadores da desordem social, são eles próprios, paradoxalmente, alvo dos efeitos perniciosos e excludentes do sentimento de insegurança.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lastRenderedPageBreak/>
        <w:t xml:space="preserve">Por outro lado, a noção de vitimação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coletiva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associada ao sentimento de insegurança pode ser também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concetualizada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a partir da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perspetiva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dos indivíduos que, por partilharem um atributo comum ou relações sociais, formam grupos associados a uma maior vulnerabilidade. Por exemplo, o sentimento de insegurança construído na comunidade LGBT e imigrante pela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perceção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de vulnerabilidade relativamente aos crimes de ódio; entre os funcionários/as de ourivesarias relativamente aos furtos e roubos nestes estabelecimentos; e entre os/as idosos/as enquanto franja da população construída como mais vulnerável. O desconforto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subjetivo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associado ao sentimento de insegurança diminui a qualidade e a satisfação com a vida dos indivíduos, uma vez que se associa ao sentimento de perda de controlo e de confiança nos mecanismos formais de manutenção da ordem social [6]. Desta forma, o sentimento de insegurança compromete a vida do indivíduo na comunidade, promovendo mais uma vez a crise do vínculo social, a exacerbação do individual e, consequentemente, a clivagem entre o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nós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e os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outros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.</w:t>
      </w:r>
    </w:p>
    <w:p w:rsidR="003E2361" w:rsidRPr="003E2361" w:rsidRDefault="003E2361" w:rsidP="003E2361">
      <w:pPr>
        <w:spacing w:after="449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 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proofErr w:type="spellStart"/>
      <w:r w:rsidRPr="003E2361">
        <w:rPr>
          <w:rFonts w:ascii="Georgia" w:eastAsia="Times New Roman" w:hAnsi="Georgia" w:cs="Times New Roman"/>
          <w:b/>
          <w:bCs/>
          <w:color w:val="333333"/>
          <w:sz w:val="30"/>
          <w:u w:val="single"/>
          <w:lang w:val="en-US"/>
        </w:rPr>
        <w:t>Notas</w:t>
      </w:r>
      <w:proofErr w:type="spellEnd"/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[1] Bar-Tal, Daniel;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Chernyak-Hai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, Lily;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Schori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,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Noa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;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Gundar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,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Ayelet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 (2009), A sense of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selfperceived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 collective victimhood in intractable conflicts,</w:t>
      </w:r>
      <w:r w:rsidRPr="003E2361">
        <w:rPr>
          <w:rFonts w:ascii="Georgia" w:eastAsia="Times New Roman" w:hAnsi="Georgia" w:cs="Times New Roman"/>
          <w:color w:val="333333"/>
          <w:sz w:val="30"/>
          <w:lang w:val="en-US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  <w:lang w:val="en-US"/>
        </w:rPr>
        <w:t>International Review of the Red Cross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, 91, pp. 229–258.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[2]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McCollister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, Kathryn E.; French, Michael T.; Fang,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Hai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 (2010), </w:t>
      </w:r>
      <w:proofErr w:type="gram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The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 Cost of Crime to Society: New Crime-Specific Estimates for Policy and Program Evaluation,</w:t>
      </w:r>
      <w:r w:rsidRPr="003E2361">
        <w:rPr>
          <w:rFonts w:ascii="Georgia" w:eastAsia="Times New Roman" w:hAnsi="Georgia" w:cs="Times New Roman"/>
          <w:color w:val="333333"/>
          <w:sz w:val="30"/>
          <w:lang w:val="en-US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  <w:lang w:val="en-US"/>
        </w:rPr>
        <w:t>Drug and Alcohol Dependence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,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  <w:lang w:val="en-US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108, pp. 98–109.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lastRenderedPageBreak/>
        <w:t>[3] Lourenço, Nelson (</w:t>
      </w:r>
      <w:proofErr w:type="gram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2010),</w:t>
      </w:r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Cidades</w:t>
      </w:r>
      <w:proofErr w:type="gramEnd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 xml:space="preserve"> e sentimento de insegurança: Violência urbana ou insegurança </w:t>
      </w:r>
      <w:proofErr w:type="gramStart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urbana?,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Disponível</w:t>
      </w:r>
      <w:proofErr w:type="gram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em URL [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Consult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. 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15 Nov 2013]: &lt;http://www.fd.unl.pt/Anexos/3841.pdf&gt;.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[4] Jackson, Jonathan (2006), Introducing fear of crime to risk research,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  <w:lang w:val="en-US"/>
        </w:rPr>
        <w:t> Risk Analysis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,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  <w:lang w:val="en-US"/>
        </w:rPr>
        <w:t> 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26, pp. 253–264.</w:t>
      </w:r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[5] Fernandes, Luís; Neves, Tiago (2010), Controlo da marginalidade, violência estrutural e vitimações colectivas,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In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 C. Machado (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Coord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.) –</w:t>
      </w:r>
      <w:proofErr w:type="gramStart"/>
      <w:r w:rsidRPr="003E2361">
        <w:rPr>
          <w:rFonts w:ascii="Georgia" w:eastAsia="Times New Roman" w:hAnsi="Georgia" w:cs="Times New Roman"/>
          <w:color w:val="333333"/>
          <w:sz w:val="30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Novas</w:t>
      </w:r>
      <w:proofErr w:type="gramEnd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 xml:space="preserve"> formas de vitimação </w:t>
      </w:r>
      <w:proofErr w:type="spellStart"/>
      <w:r w:rsidRPr="003E2361">
        <w:rPr>
          <w:rFonts w:ascii="Georgia" w:eastAsia="Times New Roman" w:hAnsi="Georgia" w:cs="Times New Roman"/>
          <w:i/>
          <w:iCs/>
          <w:color w:val="333333"/>
          <w:sz w:val="30"/>
        </w:rPr>
        <w:t>criminal</w:t>
      </w:r>
      <w:r w:rsidRPr="003E2361">
        <w:rPr>
          <w:rFonts w:ascii="Georgia" w:eastAsia="Times New Roman" w:hAnsi="Georgia" w:cs="Times New Roman"/>
          <w:b/>
          <w:bCs/>
          <w:i/>
          <w:iCs/>
          <w:color w:val="333333"/>
          <w:sz w:val="30"/>
        </w:rPr>
        <w:t>,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Braga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: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Psiquilíbrios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 xml:space="preserve">, pp. </w:t>
      </w:r>
      <w:proofErr w:type="gramStart"/>
      <w:r w:rsidRPr="003E2361">
        <w:rPr>
          <w:rFonts w:ascii="Georgia" w:eastAsia="Times New Roman" w:hAnsi="Georgia" w:cs="Times New Roman"/>
          <w:color w:val="333333"/>
          <w:sz w:val="30"/>
          <w:szCs w:val="30"/>
        </w:rPr>
        <w:t>313–335.</w:t>
      </w:r>
      <w:proofErr w:type="gramEnd"/>
    </w:p>
    <w:p w:rsidR="003E2361" w:rsidRPr="003E2361" w:rsidRDefault="003E2361" w:rsidP="003E2361">
      <w:pPr>
        <w:spacing w:after="0" w:line="449" w:lineRule="atLeast"/>
        <w:jc w:val="both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 xml:space="preserve">[6] Adams, Richard E.; </w:t>
      </w:r>
      <w:proofErr w:type="spellStart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Serpe</w:t>
      </w:r>
      <w:proofErr w:type="spellEnd"/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, Richard T. (2000), Social Integration, Fear of Crime, and Psychological Health,</w:t>
      </w:r>
      <w:r w:rsidRPr="003E2361">
        <w:rPr>
          <w:rFonts w:ascii="Georgia" w:eastAsia="Times New Roman" w:hAnsi="Georgia" w:cs="Times New Roman"/>
          <w:color w:val="333333"/>
          <w:sz w:val="30"/>
          <w:lang w:val="en-US"/>
        </w:rPr>
        <w:t> </w:t>
      </w:r>
      <w:r w:rsidRPr="003E2361">
        <w:rPr>
          <w:rFonts w:ascii="Georgia" w:eastAsia="Times New Roman" w:hAnsi="Georgia" w:cs="Times New Roman"/>
          <w:i/>
          <w:iCs/>
          <w:color w:val="333333"/>
          <w:sz w:val="30"/>
          <w:lang w:val="en-US"/>
        </w:rPr>
        <w:t>Sociological Perspectives</w:t>
      </w: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, 43, pp. 605–629.</w:t>
      </w:r>
    </w:p>
    <w:p w:rsidR="00E26C0E" w:rsidRPr="003E2361" w:rsidRDefault="003E2361" w:rsidP="003E2361">
      <w:pPr>
        <w:spacing w:after="449" w:line="449" w:lineRule="atLeast"/>
        <w:textAlignment w:val="baseline"/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</w:pPr>
      <w:r w:rsidRPr="003E2361">
        <w:rPr>
          <w:rFonts w:ascii="Georgia" w:eastAsia="Times New Roman" w:hAnsi="Georgia" w:cs="Times New Roman"/>
          <w:color w:val="333333"/>
          <w:sz w:val="30"/>
          <w:szCs w:val="30"/>
          <w:lang w:val="en-US"/>
        </w:rPr>
        <w:t> </w:t>
      </w:r>
    </w:p>
    <w:sectPr w:rsidR="00E26C0E" w:rsidRPr="003E23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3E2361"/>
    <w:rsid w:val="003E2361"/>
    <w:rsid w:val="00E26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cter"/>
    <w:uiPriority w:val="9"/>
    <w:qFormat/>
    <w:rsid w:val="003E23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"/>
    <w:rsid w:val="003E236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meta-prep">
    <w:name w:val="meta-prep"/>
    <w:basedOn w:val="Tipodeletrapredefinidodopargrafo"/>
    <w:rsid w:val="003E2361"/>
  </w:style>
  <w:style w:type="character" w:customStyle="1" w:styleId="apple-converted-space">
    <w:name w:val="apple-converted-space"/>
    <w:basedOn w:val="Tipodeletrapredefinidodopargrafo"/>
    <w:rsid w:val="003E2361"/>
  </w:style>
  <w:style w:type="character" w:styleId="Hiperligao">
    <w:name w:val="Hyperlink"/>
    <w:basedOn w:val="Tipodeletrapredefinidodopargrafo"/>
    <w:uiPriority w:val="99"/>
    <w:semiHidden/>
    <w:unhideWhenUsed/>
    <w:rsid w:val="003E2361"/>
    <w:rPr>
      <w:color w:val="0000FF"/>
      <w:u w:val="single"/>
    </w:rPr>
  </w:style>
  <w:style w:type="character" w:customStyle="1" w:styleId="entry-date">
    <w:name w:val="entry-date"/>
    <w:basedOn w:val="Tipodeletrapredefinidodopargrafo"/>
    <w:rsid w:val="003E2361"/>
  </w:style>
  <w:style w:type="character" w:customStyle="1" w:styleId="meta-sep">
    <w:name w:val="meta-sep"/>
    <w:basedOn w:val="Tipodeletrapredefinidodopargrafo"/>
    <w:rsid w:val="003E2361"/>
  </w:style>
  <w:style w:type="character" w:customStyle="1" w:styleId="author">
    <w:name w:val="author"/>
    <w:basedOn w:val="Tipodeletrapredefinidodopargrafo"/>
    <w:rsid w:val="003E2361"/>
  </w:style>
  <w:style w:type="paragraph" w:styleId="NormalWeb">
    <w:name w:val="Normal (Web)"/>
    <w:basedOn w:val="Normal"/>
    <w:uiPriority w:val="99"/>
    <w:semiHidden/>
    <w:unhideWhenUsed/>
    <w:rsid w:val="003E23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Tipodeletrapredefinidodopargrafo"/>
    <w:uiPriority w:val="22"/>
    <w:qFormat/>
    <w:rsid w:val="003E2361"/>
    <w:rPr>
      <w:b/>
      <w:bCs/>
    </w:rPr>
  </w:style>
  <w:style w:type="character" w:styleId="nfase">
    <w:name w:val="Emphasis"/>
    <w:basedOn w:val="Tipodeletrapredefinidodopargrafo"/>
    <w:uiPriority w:val="20"/>
    <w:qFormat/>
    <w:rsid w:val="003E236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322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48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rometro.com.pt/archives/author/admin" TargetMode="External"/><Relationship Id="rId4" Type="http://schemas.openxmlformats.org/officeDocument/2006/relationships/hyperlink" Target="http://barometro.com.pt/archives/1135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1144</Words>
  <Characters>6183</Characters>
  <Application>Microsoft Office Word</Application>
  <DocSecurity>0</DocSecurity>
  <Lines>51</Lines>
  <Paragraphs>14</Paragraphs>
  <ScaleCrop>false</ScaleCrop>
  <Company/>
  <LinksUpToDate>false</LinksUpToDate>
  <CharactersWithSpaces>7313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2014-10-15T13:51:00Z</dcterms:created>
  <dcterms:modified xsi:type="dcterms:W3CDTF">2014-10-15T13:51:00Z</dcterms:modified>
</cp:coreProperties>
</file>